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D4" w:rsidRDefault="00F00AD4">
      <w:pPr>
        <w:pStyle w:val="ConsPlusNormal"/>
        <w:jc w:val="right"/>
        <w:outlineLvl w:val="1"/>
      </w:pPr>
      <w:r>
        <w:t>Приложение 19</w:t>
      </w:r>
    </w:p>
    <w:p w:rsidR="00F00AD4" w:rsidRDefault="00F00AD4">
      <w:pPr>
        <w:pStyle w:val="ConsPlusNormal"/>
        <w:jc w:val="right"/>
      </w:pPr>
      <w:r>
        <w:t>к Программе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Title"/>
        <w:jc w:val="center"/>
      </w:pPr>
      <w:bookmarkStart w:id="0" w:name="P19833"/>
      <w:bookmarkEnd w:id="0"/>
      <w:r>
        <w:t>ЦЕЛЕВЫЕ ЗНАЧЕНИЯ</w:t>
      </w:r>
    </w:p>
    <w:p w:rsidR="00F00AD4" w:rsidRDefault="00F00AD4">
      <w:pPr>
        <w:pStyle w:val="ConsPlusTitle"/>
        <w:jc w:val="center"/>
      </w:pPr>
      <w:r>
        <w:t>КРИТЕРИЕВ ДОСТУПНОСТИ И КАЧЕСТВА МЕДИЦИНСКОЙ ПОМОЩИ,</w:t>
      </w:r>
    </w:p>
    <w:p w:rsidR="00F00AD4" w:rsidRDefault="00F00AD4">
      <w:pPr>
        <w:pStyle w:val="ConsPlusTitle"/>
        <w:jc w:val="center"/>
      </w:pPr>
      <w:r>
        <w:t>ОКАЗЫВАЕМОЙ В РАМКАХ ПРОГРАММЫ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>Целевые значения критериев доступности медицинской помощи: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удовлетворенность населения доступностью медицинской помощи, в том числе городского и сельского населения (процентов числа опрошенных): 2024 год - 62,0%, в том числе городского населения - 62,0%, сельского населения - 52,0%; 2025 год - 62,0%, в том числе городского населения - 62,0%, сельского населения - 52,0%; 2026 год - 62,0%, в том числе городского населения - 62,0%, сельского населения - 52,0%;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доля расходов на оказание медицинской помощи в условиях дневных стационаров в общих расходах на Программу: 2024 год - 9,4%; 2025 год - 9,4%; 2026 год - 9,5%;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доля расходов на оказание медицинской помощи в амбулаторных условиях в неотложной форме в общих расходах на Программу: 2024 год - 2,3%; 2025 год - 2,3%; 2026 год - 2,3%;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страхования: 2024 год - 4,0%; 2025 год - 4,0%; 2026 год - 4,0%;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доля посещений выездной патронажной службы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населению: 2024 год - 20,0%; 2025 год - 25,0%; 2026 год - 30,0%;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число пациентов, которым оказана паллиативная медицинская помощь по месту их фактического пребывания за пределами Республики Карелия, на территории которой указанные пациенты зарегистрированы по месту жительства: 2024 год - 3 человека; 2025 год - 3 человека; 2026 год - 3 человека;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число пациентов, зарегистрированных на территории Республики Карелия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соглашения: 2024 год - 0 человек; 2025 год - 0 человек; 2026 год - 0 человек;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заболеваниями: 2024 год - 84,7%; 2025 год - 84,7%; 2026 год - 84,7%;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наблюдения: 2024 год - 100,0%; 2025 год - 100,0%; 2026 год - 100,0%;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доля граждан, обеспеченных лекарственными препаратами, в общем количестве льготных категорий граждан: 2024 год - 41,4%; 2025 год - 41,4%; 2026 год - 41,4%; Целевые значения критериев качества медицинской помощи: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года: 2024 год - 1,5%; 2025 год - 1,5%; 2026 год - 1,5%;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lastRenderedPageBreak/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несовершеннолетних: 2024 год - 2,5%; 2025 год - 3,0%; 2026 год - 3,5%;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года: 2024 год - 6,0%; 2025 год - 6,5%; 2026 год - 6,5%;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осмотры: 2024 год - 0,2%; 2025 год - 0,3%; 2026 год - 0,3%;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новообразованиями: 2024 год - 99,8%; 2025 год - 100,0%; 2026 год - 100,0%;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миокарда: 2024 год - 81,5%; 2025 год - 81,5%; 2026 год - 81,5%;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доля пациентов с острым инфарктом миокарда, которым проведено </w:t>
      </w:r>
      <w:proofErr w:type="spellStart"/>
      <w:r>
        <w:t>стентирование</w:t>
      </w:r>
      <w:proofErr w:type="spellEnd"/>
      <w:r>
        <w:t xml:space="preserve"> коронарных артерий, в общем количестве пациентов с острым инфарктом миокарда, имеющих показания к ее проведению: 2024 год - 90,0%; 2025 год - 90,0%; 2026 год - 90,0%;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доля пациентов с острым и повторным инфарктом миокарда, которым выездной бригадой скорой медицинской помощи проведен </w:t>
      </w:r>
      <w:proofErr w:type="spellStart"/>
      <w:r>
        <w:t>тромболизис</w:t>
      </w:r>
      <w:proofErr w:type="spellEnd"/>
      <w:r>
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помощи: 2024 год - 48,0%; 2025 год - 49,0%; 2026 год - 49,0%;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доля пациентов с острым инфарктом миокарда,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инфарктом миокарда, имеющих показания к ее проведению: 2024 год - 75,0%; 2025 год - 75,0%; 2026 год - 75,0%;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болезнями: 2024 год - 14,0%; 2025 год - 14,5%; 2026 год - 14,5%;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доля пациентов с острым ишемическим инсультом,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заболевания: 2024 год - 8,0%; 2025 год - 8,5%; 2026 год - 8,5%;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доля пациентов с острым ишемическим инсультом,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центры: 2024 год - 7,5%; 2025 год - 8,0%; 2026 год - 8,0%;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помощи: 2024 год - 70,0%; 2025 год - 80,0%; 2026 год - 80,0%;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</w:t>
      </w:r>
      <w:r>
        <w:lastRenderedPageBreak/>
        <w:t>репродуктивных технологий клинических рекомендаций "Женское бесплодие": 2024 год - 100,0%; 2025 год - 100,0%; 2026 год - 100,0%;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число циклов ЭКО, выполняемых медицинской организацией, в течение одного года: 2024 год - 560,0 единиц; 2025 год - 560,0 единиц; 2026 год - 560,0 единиц;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эмбрионов): 2024 год - 33,0%; 2025 год - 34,0%; 2026 год - 35,0%;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количество обоснованных жалоб, в том числе на отказ в оказании медицинской помощи, предоставляемой в рамках Программы: 2024 год - до 3; 2025 год - до 3; 2026 год - до 3;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количество случаев госпитализации с диагнозом "бронхиальная астма" на 100 тыс. населения в год: 2024 год - 80 случаев; 2025 год - 81 случаев; 2026 год - 81 случай;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количество случаев госпитализации с диагнозом "хроническая обструктивная болезнь легких" на 100 тыс. населения: 2024 год - 65 случаев; 2025 год - 65,5 случая; 2026 год - 65,5 случая;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количество случаев госпитализации с диагнозом "хроническая сердечная недостаточность" на 100 тыс. населения в год: 2024 год - 190 случаев; 2025 год - 193 случая; 2026 год - 193 случая;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количество случаев госпитализации с диагнозом "гипертоническая болезнь" на 100 тыс. населения в год: 2024 год - 247 случаев; 2025 год - 250 случаев; 2026 год - 250 случаев;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количество случаев госпитализации с диагнозом "сахарный диабет" на 100 тыс. населения в год: 2024 год - 208 случаев; 2025 год - 210 случаев; 2026 год - 210 случаев;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количество пациентов с гепатитом С, получивших противовирусную терапию: 2024 год - 10,5 случая; 2025 год - 11,7 случая, 2026 год - 11,7 случая;</w:t>
      </w:r>
    </w:p>
    <w:p w:rsidR="00F00AD4" w:rsidRDefault="00F00AD4" w:rsidP="009D75AE">
      <w:pPr>
        <w:pStyle w:val="ConsPlusNormal"/>
        <w:spacing w:before="220"/>
        <w:ind w:firstLine="540"/>
        <w:jc w:val="both"/>
      </w:pPr>
      <w:r>
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диагноза: 2024 год - 15,0%; 2025 год - 15,0%; 2025 год - 15,0%.</w:t>
      </w:r>
      <w:bookmarkStart w:id="1" w:name="_GoBack"/>
      <w:bookmarkEnd w:id="1"/>
    </w:p>
    <w:sectPr w:rsidR="00F00AD4" w:rsidSect="009D75A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4"/>
    <w:rsid w:val="000077AD"/>
    <w:rsid w:val="000645F4"/>
    <w:rsid w:val="002451B0"/>
    <w:rsid w:val="002E53DD"/>
    <w:rsid w:val="003B19D9"/>
    <w:rsid w:val="004C6356"/>
    <w:rsid w:val="00703CC6"/>
    <w:rsid w:val="007160FE"/>
    <w:rsid w:val="00792D14"/>
    <w:rsid w:val="00816979"/>
    <w:rsid w:val="008B7380"/>
    <w:rsid w:val="008D044A"/>
    <w:rsid w:val="009B11E9"/>
    <w:rsid w:val="009D75AE"/>
    <w:rsid w:val="00A51D99"/>
    <w:rsid w:val="00B21754"/>
    <w:rsid w:val="00BC6E26"/>
    <w:rsid w:val="00C55A1B"/>
    <w:rsid w:val="00D343DC"/>
    <w:rsid w:val="00D969DD"/>
    <w:rsid w:val="00E0542E"/>
    <w:rsid w:val="00F00AD4"/>
    <w:rsid w:val="00F13E0E"/>
    <w:rsid w:val="00F3168B"/>
    <w:rsid w:val="00F4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E706"/>
  <w15:chartTrackingRefBased/>
  <w15:docId w15:val="{FD4F255F-980B-4655-902B-52E32F26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00A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2024-01-18T08:51:00Z</dcterms:created>
  <dcterms:modified xsi:type="dcterms:W3CDTF">2024-01-18T08:51:00Z</dcterms:modified>
</cp:coreProperties>
</file>